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627CE4" w:rsidRPr="003C7004">
        <w:rPr>
          <w:sz w:val="28"/>
          <w:szCs w:val="28"/>
        </w:rPr>
        <w:t>Innenwinkel</w:t>
      </w:r>
      <w:r w:rsidR="00627CE4">
        <w:rPr>
          <w:sz w:val="28"/>
          <w:szCs w:val="28"/>
        </w:rPr>
        <w:t xml:space="preserve"> 2</w:t>
      </w:r>
      <w:bookmarkStart w:id="0" w:name="_GoBack"/>
      <w:bookmarkEnd w:id="0"/>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627CE4" w:rsidTr="00627CE4">
        <w:tc>
          <w:tcPr>
            <w:tcW w:w="2466" w:type="dxa"/>
            <w:vAlign w:val="center"/>
          </w:tcPr>
          <w:p w:rsidR="00627CE4" w:rsidRPr="00DE6A25" w:rsidRDefault="00627CE4" w:rsidP="008A099B">
            <w:pPr>
              <w:pStyle w:val="IQB-Merkmal"/>
            </w:pPr>
            <w:r w:rsidRPr="00DE6A25">
              <w:t>Leitidee</w:t>
            </w:r>
          </w:p>
        </w:tc>
        <w:tc>
          <w:tcPr>
            <w:tcW w:w="6604" w:type="dxa"/>
          </w:tcPr>
          <w:p w:rsidR="00627CE4" w:rsidRPr="00DE6A25" w:rsidRDefault="00627CE4" w:rsidP="008A099B">
            <w:pPr>
              <w:pStyle w:val="IQB-Merkmalswert"/>
              <w:rPr>
                <w:sz w:val="22"/>
                <w:szCs w:val="22"/>
              </w:rPr>
            </w:pPr>
            <w:r w:rsidRPr="00DE6A25">
              <w:rPr>
                <w:sz w:val="22"/>
                <w:szCs w:val="22"/>
              </w:rPr>
              <w:t>Raum und Form (L3)</w:t>
            </w:r>
          </w:p>
        </w:tc>
      </w:tr>
      <w:tr w:rsidR="00627CE4" w:rsidTr="00627CE4">
        <w:tc>
          <w:tcPr>
            <w:tcW w:w="2466" w:type="dxa"/>
            <w:vAlign w:val="center"/>
          </w:tcPr>
          <w:p w:rsidR="00627CE4" w:rsidRPr="00DE6A25" w:rsidRDefault="00627CE4" w:rsidP="008A099B">
            <w:pPr>
              <w:pStyle w:val="IQB-Merkmal"/>
            </w:pPr>
            <w:r w:rsidRPr="00DE6A25">
              <w:t>Allgemeine Kompetenzen</w:t>
            </w:r>
          </w:p>
        </w:tc>
        <w:tc>
          <w:tcPr>
            <w:tcW w:w="6604" w:type="dxa"/>
          </w:tcPr>
          <w:p w:rsidR="00627CE4" w:rsidRPr="00DE6A25" w:rsidRDefault="00627CE4" w:rsidP="008A099B">
            <w:pPr>
              <w:pStyle w:val="IQB-Merkmalswert"/>
              <w:rPr>
                <w:sz w:val="22"/>
                <w:szCs w:val="22"/>
              </w:rPr>
            </w:pPr>
            <w:r w:rsidRPr="00DE6A25">
              <w:rPr>
                <w:sz w:val="22"/>
                <w:szCs w:val="22"/>
              </w:rPr>
              <w:t>Mit symbolischen, formalen und technischen Elementen der Mathematik umg</w:t>
            </w:r>
            <w:r w:rsidRPr="00DE6A25">
              <w:rPr>
                <w:sz w:val="22"/>
                <w:szCs w:val="22"/>
              </w:rPr>
              <w:t>e</w:t>
            </w:r>
            <w:r w:rsidRPr="00DE6A25">
              <w:rPr>
                <w:sz w:val="22"/>
                <w:szCs w:val="22"/>
              </w:rPr>
              <w:t>hen (K5)</w:t>
            </w:r>
          </w:p>
        </w:tc>
      </w:tr>
      <w:tr w:rsidR="00627CE4" w:rsidTr="00627CE4">
        <w:tc>
          <w:tcPr>
            <w:tcW w:w="2466" w:type="dxa"/>
            <w:vAlign w:val="center"/>
          </w:tcPr>
          <w:p w:rsidR="00627CE4" w:rsidRPr="00DE6A25" w:rsidRDefault="00627CE4" w:rsidP="008A099B">
            <w:pPr>
              <w:pStyle w:val="IQB-Merkmal"/>
            </w:pPr>
            <w:r w:rsidRPr="00DE6A25">
              <w:t>Anforderungsbereich</w:t>
            </w:r>
          </w:p>
        </w:tc>
        <w:tc>
          <w:tcPr>
            <w:tcW w:w="6604" w:type="dxa"/>
          </w:tcPr>
          <w:p w:rsidR="00627CE4" w:rsidRPr="00DE6A25" w:rsidRDefault="00627CE4" w:rsidP="008A099B">
            <w:pPr>
              <w:pStyle w:val="IQB-Merkmalswert"/>
              <w:rPr>
                <w:sz w:val="22"/>
                <w:szCs w:val="22"/>
              </w:rPr>
            </w:pPr>
            <w:r w:rsidRPr="00DE6A25">
              <w:rPr>
                <w:sz w:val="22"/>
                <w:szCs w:val="22"/>
              </w:rPr>
              <w:t>I</w:t>
            </w:r>
          </w:p>
        </w:tc>
      </w:tr>
      <w:tr w:rsidR="00627CE4" w:rsidTr="00627CE4">
        <w:tc>
          <w:tcPr>
            <w:tcW w:w="2466" w:type="dxa"/>
            <w:vAlign w:val="center"/>
          </w:tcPr>
          <w:p w:rsidR="00627CE4" w:rsidRPr="00DE6A25" w:rsidRDefault="00627CE4" w:rsidP="008A099B">
            <w:pPr>
              <w:pStyle w:val="IQB-Merkmal"/>
            </w:pPr>
            <w:r w:rsidRPr="00DE6A25">
              <w:t>Kompetenzstufe</w:t>
            </w:r>
          </w:p>
        </w:tc>
        <w:tc>
          <w:tcPr>
            <w:tcW w:w="6604" w:type="dxa"/>
          </w:tcPr>
          <w:p w:rsidR="00627CE4" w:rsidRPr="00DE6A25" w:rsidRDefault="00627CE4" w:rsidP="008A099B">
            <w:pPr>
              <w:pStyle w:val="IQB-Merkmalswert"/>
              <w:rPr>
                <w:sz w:val="22"/>
                <w:szCs w:val="22"/>
              </w:rPr>
            </w:pPr>
            <w:r w:rsidRPr="00DE6A25">
              <w:rPr>
                <w:sz w:val="22"/>
                <w:szCs w:val="22"/>
              </w:rPr>
              <w:t>4</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627CE4" w:rsidTr="00627CE4">
        <w:tc>
          <w:tcPr>
            <w:tcW w:w="2466" w:type="dxa"/>
            <w:vAlign w:val="center"/>
          </w:tcPr>
          <w:p w:rsidR="00627CE4" w:rsidRPr="00DE6A25" w:rsidRDefault="00627CE4" w:rsidP="008A099B">
            <w:pPr>
              <w:pStyle w:val="IQB-Merkmal"/>
            </w:pPr>
            <w:r w:rsidRPr="00DE6A25">
              <w:t>Leitidee</w:t>
            </w:r>
          </w:p>
        </w:tc>
        <w:tc>
          <w:tcPr>
            <w:tcW w:w="6604" w:type="dxa"/>
          </w:tcPr>
          <w:p w:rsidR="00627CE4" w:rsidRPr="00DE6A25" w:rsidRDefault="00627CE4" w:rsidP="008A099B">
            <w:pPr>
              <w:pStyle w:val="IQB-Merkmalswert"/>
              <w:rPr>
                <w:sz w:val="22"/>
                <w:szCs w:val="22"/>
              </w:rPr>
            </w:pPr>
            <w:r w:rsidRPr="00DE6A25">
              <w:rPr>
                <w:sz w:val="22"/>
                <w:szCs w:val="22"/>
              </w:rPr>
              <w:t>Raum und Form (L3)</w:t>
            </w:r>
          </w:p>
        </w:tc>
      </w:tr>
      <w:tr w:rsidR="00627CE4" w:rsidTr="00627CE4">
        <w:tc>
          <w:tcPr>
            <w:tcW w:w="2466" w:type="dxa"/>
            <w:vAlign w:val="center"/>
          </w:tcPr>
          <w:p w:rsidR="00627CE4" w:rsidRPr="00DE6A25" w:rsidRDefault="00627CE4" w:rsidP="008A099B">
            <w:pPr>
              <w:pStyle w:val="IQB-Merkmal"/>
            </w:pPr>
            <w:r w:rsidRPr="00DE6A25">
              <w:t>Allgemeine Kompetenzen</w:t>
            </w:r>
          </w:p>
        </w:tc>
        <w:tc>
          <w:tcPr>
            <w:tcW w:w="6604" w:type="dxa"/>
          </w:tcPr>
          <w:p w:rsidR="00627CE4" w:rsidRPr="00DE6A25" w:rsidRDefault="00627CE4" w:rsidP="008A099B">
            <w:pPr>
              <w:pStyle w:val="IQB-Merkmalswert"/>
              <w:rPr>
                <w:sz w:val="22"/>
                <w:szCs w:val="22"/>
              </w:rPr>
            </w:pPr>
            <w:r w:rsidRPr="00DE6A25">
              <w:rPr>
                <w:sz w:val="22"/>
                <w:szCs w:val="22"/>
              </w:rPr>
              <w:t>Mit symbolischen, formalen und technischen Elementen der Mathematik umg</w:t>
            </w:r>
            <w:r w:rsidRPr="00DE6A25">
              <w:rPr>
                <w:sz w:val="22"/>
                <w:szCs w:val="22"/>
              </w:rPr>
              <w:t>e</w:t>
            </w:r>
            <w:r w:rsidRPr="00DE6A25">
              <w:rPr>
                <w:sz w:val="22"/>
                <w:szCs w:val="22"/>
              </w:rPr>
              <w:t>hen (K5)</w:t>
            </w:r>
          </w:p>
        </w:tc>
      </w:tr>
      <w:tr w:rsidR="00627CE4" w:rsidTr="00627CE4">
        <w:tc>
          <w:tcPr>
            <w:tcW w:w="2466" w:type="dxa"/>
            <w:vAlign w:val="center"/>
          </w:tcPr>
          <w:p w:rsidR="00627CE4" w:rsidRPr="00DE6A25" w:rsidRDefault="00627CE4" w:rsidP="008A099B">
            <w:pPr>
              <w:pStyle w:val="IQB-Merkmal"/>
            </w:pPr>
            <w:r w:rsidRPr="00DE6A25">
              <w:t>Anforderungsbereich</w:t>
            </w:r>
          </w:p>
        </w:tc>
        <w:tc>
          <w:tcPr>
            <w:tcW w:w="6604" w:type="dxa"/>
          </w:tcPr>
          <w:p w:rsidR="00627CE4" w:rsidRPr="00DE6A25" w:rsidRDefault="00627CE4" w:rsidP="008A099B">
            <w:pPr>
              <w:pStyle w:val="IQB-Merkmalswert"/>
              <w:rPr>
                <w:sz w:val="22"/>
                <w:szCs w:val="22"/>
              </w:rPr>
            </w:pPr>
            <w:r w:rsidRPr="00DE6A25">
              <w:rPr>
                <w:sz w:val="22"/>
                <w:szCs w:val="22"/>
              </w:rPr>
              <w:t>II</w:t>
            </w:r>
          </w:p>
        </w:tc>
      </w:tr>
      <w:tr w:rsidR="00627CE4" w:rsidTr="00627CE4">
        <w:tc>
          <w:tcPr>
            <w:tcW w:w="2466" w:type="dxa"/>
            <w:vAlign w:val="center"/>
          </w:tcPr>
          <w:p w:rsidR="00627CE4" w:rsidRPr="00DE6A25" w:rsidRDefault="00627CE4" w:rsidP="008A099B">
            <w:pPr>
              <w:pStyle w:val="IQB-Merkmal"/>
            </w:pPr>
            <w:r w:rsidRPr="00DE6A25">
              <w:t>Kompetenzstufe</w:t>
            </w:r>
          </w:p>
        </w:tc>
        <w:tc>
          <w:tcPr>
            <w:tcW w:w="6604" w:type="dxa"/>
          </w:tcPr>
          <w:p w:rsidR="00627CE4" w:rsidRPr="00DE6A25" w:rsidRDefault="00627CE4" w:rsidP="008A099B">
            <w:pPr>
              <w:pStyle w:val="IQB-Merkmalswert"/>
              <w:rPr>
                <w:sz w:val="22"/>
                <w:szCs w:val="22"/>
              </w:rPr>
            </w:pPr>
            <w:r w:rsidRPr="00DE6A25">
              <w:rPr>
                <w:sz w:val="22"/>
                <w:szCs w:val="22"/>
              </w:rPr>
              <w:t>4</w:t>
            </w:r>
          </w:p>
        </w:tc>
      </w:tr>
    </w:tbl>
    <w:p w:rsidR="00627CE4" w:rsidRPr="00694A63" w:rsidRDefault="00627CE4" w:rsidP="00627CE4">
      <w:pPr>
        <w:pStyle w:val="IQB-Teilaufgabentitel"/>
        <w:rPr>
          <w:b/>
        </w:rPr>
      </w:pPr>
      <w:r w:rsidRPr="00694A63">
        <w:rPr>
          <w:b/>
        </w:rPr>
        <w:t>Merkmal</w:t>
      </w:r>
      <w:r>
        <w:rPr>
          <w:b/>
        </w:rPr>
        <w:t xml:space="preserve">e der Teilaufgabe </w:t>
      </w:r>
      <w:r>
        <w:rPr>
          <w:b/>
        </w:rPr>
        <w:t>3</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627CE4" w:rsidTr="00627CE4">
        <w:tc>
          <w:tcPr>
            <w:tcW w:w="2466" w:type="dxa"/>
            <w:vAlign w:val="center"/>
          </w:tcPr>
          <w:p w:rsidR="00627CE4" w:rsidRPr="00DE6A25" w:rsidRDefault="00627CE4" w:rsidP="008A099B">
            <w:pPr>
              <w:pStyle w:val="IQB-Merkmal"/>
            </w:pPr>
            <w:r w:rsidRPr="00DE6A25">
              <w:t>Leitidee</w:t>
            </w:r>
          </w:p>
        </w:tc>
        <w:tc>
          <w:tcPr>
            <w:tcW w:w="6604" w:type="dxa"/>
          </w:tcPr>
          <w:p w:rsidR="00627CE4" w:rsidRPr="00DE6A25" w:rsidRDefault="00627CE4" w:rsidP="008A099B">
            <w:pPr>
              <w:pStyle w:val="IQB-Merkmalswert"/>
              <w:rPr>
                <w:sz w:val="22"/>
                <w:szCs w:val="22"/>
              </w:rPr>
            </w:pPr>
            <w:r w:rsidRPr="00DE6A25">
              <w:rPr>
                <w:sz w:val="22"/>
                <w:szCs w:val="22"/>
              </w:rPr>
              <w:t>Raum und Form (L3)</w:t>
            </w:r>
          </w:p>
        </w:tc>
      </w:tr>
      <w:tr w:rsidR="00627CE4" w:rsidTr="00627CE4">
        <w:tc>
          <w:tcPr>
            <w:tcW w:w="2466" w:type="dxa"/>
            <w:vAlign w:val="center"/>
          </w:tcPr>
          <w:p w:rsidR="00627CE4" w:rsidRPr="00DE6A25" w:rsidRDefault="00627CE4" w:rsidP="008A099B">
            <w:pPr>
              <w:pStyle w:val="IQB-Merkmal"/>
            </w:pPr>
            <w:r w:rsidRPr="00DE6A25">
              <w:t>Allgemeine Kompetenzen</w:t>
            </w:r>
          </w:p>
        </w:tc>
        <w:tc>
          <w:tcPr>
            <w:tcW w:w="6604" w:type="dxa"/>
          </w:tcPr>
          <w:p w:rsidR="00627CE4" w:rsidRDefault="00627CE4" w:rsidP="008A099B">
            <w:pPr>
              <w:pStyle w:val="IQB-Merkmalswert"/>
              <w:rPr>
                <w:sz w:val="22"/>
                <w:szCs w:val="22"/>
              </w:rPr>
            </w:pPr>
            <w:r w:rsidRPr="00DE6A25">
              <w:rPr>
                <w:sz w:val="22"/>
                <w:szCs w:val="22"/>
              </w:rPr>
              <w:t>M</w:t>
            </w:r>
            <w:r>
              <w:rPr>
                <w:sz w:val="22"/>
                <w:szCs w:val="22"/>
              </w:rPr>
              <w:t>athematisch argumentieren (K1)</w:t>
            </w:r>
          </w:p>
          <w:p w:rsidR="00627CE4" w:rsidRPr="00DE6A25" w:rsidRDefault="00627CE4" w:rsidP="008A099B">
            <w:pPr>
              <w:pStyle w:val="IQB-Merkmalswert"/>
              <w:rPr>
                <w:sz w:val="22"/>
                <w:szCs w:val="22"/>
              </w:rPr>
            </w:pPr>
            <w:r w:rsidRPr="00DE6A25">
              <w:rPr>
                <w:sz w:val="22"/>
                <w:szCs w:val="22"/>
              </w:rPr>
              <w:t>Mit symbolischen, formalen und technischen Elementen der Mathematik umgehen (K5)</w:t>
            </w:r>
          </w:p>
        </w:tc>
      </w:tr>
      <w:tr w:rsidR="00627CE4" w:rsidTr="00627CE4">
        <w:tc>
          <w:tcPr>
            <w:tcW w:w="2466" w:type="dxa"/>
            <w:vAlign w:val="center"/>
          </w:tcPr>
          <w:p w:rsidR="00627CE4" w:rsidRPr="00DE6A25" w:rsidRDefault="00627CE4" w:rsidP="008A099B">
            <w:pPr>
              <w:pStyle w:val="IQB-Merkmal"/>
            </w:pPr>
            <w:r w:rsidRPr="00DE6A25">
              <w:t>Anforderungsbereich</w:t>
            </w:r>
          </w:p>
        </w:tc>
        <w:tc>
          <w:tcPr>
            <w:tcW w:w="6604" w:type="dxa"/>
          </w:tcPr>
          <w:p w:rsidR="00627CE4" w:rsidRPr="00DE6A25" w:rsidRDefault="00627CE4" w:rsidP="008A099B">
            <w:pPr>
              <w:pStyle w:val="IQB-Merkmalswert"/>
              <w:rPr>
                <w:sz w:val="22"/>
                <w:szCs w:val="22"/>
              </w:rPr>
            </w:pPr>
            <w:r w:rsidRPr="00DE6A25">
              <w:rPr>
                <w:sz w:val="22"/>
                <w:szCs w:val="22"/>
              </w:rPr>
              <w:t>III</w:t>
            </w:r>
          </w:p>
        </w:tc>
      </w:tr>
      <w:tr w:rsidR="00627CE4" w:rsidTr="00627CE4">
        <w:tc>
          <w:tcPr>
            <w:tcW w:w="2466" w:type="dxa"/>
            <w:vAlign w:val="center"/>
          </w:tcPr>
          <w:p w:rsidR="00627CE4" w:rsidRPr="00DE6A25" w:rsidRDefault="00627CE4" w:rsidP="008A099B">
            <w:pPr>
              <w:pStyle w:val="IQB-Merkmal"/>
            </w:pPr>
            <w:r w:rsidRPr="00DE6A25">
              <w:t>Kompetenzstufe</w:t>
            </w:r>
          </w:p>
        </w:tc>
        <w:tc>
          <w:tcPr>
            <w:tcW w:w="6604" w:type="dxa"/>
          </w:tcPr>
          <w:p w:rsidR="00627CE4" w:rsidRPr="00DE6A25" w:rsidRDefault="00627CE4" w:rsidP="008A099B">
            <w:pPr>
              <w:pStyle w:val="IQB-Merkmalswert"/>
              <w:rPr>
                <w:sz w:val="22"/>
                <w:szCs w:val="22"/>
              </w:rPr>
            </w:pPr>
            <w:r w:rsidRPr="00DE6A25">
              <w:rPr>
                <w:sz w:val="22"/>
                <w:szCs w:val="22"/>
              </w:rPr>
              <w:t>5</w:t>
            </w:r>
          </w:p>
        </w:tc>
      </w:tr>
    </w:tbl>
    <w:p w:rsidR="00694A63" w:rsidRPr="00694A63" w:rsidRDefault="00694A63" w:rsidP="00694A63">
      <w:pPr>
        <w:pStyle w:val="IQB-Teilaufgabentitel"/>
        <w:rPr>
          <w:b/>
        </w:rPr>
      </w:pPr>
      <w:r w:rsidRPr="00694A63">
        <w:rPr>
          <w:b/>
        </w:rPr>
        <w:t>Aufgabenbezogener Kommentar</w:t>
      </w:r>
    </w:p>
    <w:p w:rsidR="00627CE4" w:rsidRPr="00627CE4" w:rsidRDefault="00627CE4" w:rsidP="00627CE4">
      <w:pPr>
        <w:jc w:val="both"/>
        <w:rPr>
          <w:rFonts w:ascii="Arial" w:hAnsi="Arial"/>
          <w:sz w:val="22"/>
          <w:szCs w:val="22"/>
        </w:rPr>
      </w:pPr>
      <w:r w:rsidRPr="00627CE4">
        <w:rPr>
          <w:rFonts w:ascii="Arial" w:hAnsi="Arial"/>
          <w:sz w:val="22"/>
          <w:szCs w:val="22"/>
        </w:rPr>
        <w:t xml:space="preserve">In der Aufgabe „Innenwinkel“ werden unterschiedliche Dreiecke und insbesondere deren Innenwinkel betrachtet. Dabei müssen Schülerinnen und Schüler entscheiden, welche Innenwinkel zu den beschriebenen Dreiecken passen. Damit gehört diese Aufgabe zur Leitidee </w:t>
      </w:r>
      <w:r w:rsidRPr="00627CE4">
        <w:rPr>
          <w:rFonts w:ascii="Arial" w:hAnsi="Arial"/>
          <w:i/>
          <w:sz w:val="22"/>
          <w:szCs w:val="22"/>
        </w:rPr>
        <w:t>Raum und Form</w:t>
      </w:r>
      <w:r w:rsidRPr="00627CE4">
        <w:rPr>
          <w:rFonts w:ascii="Arial" w:hAnsi="Arial"/>
          <w:sz w:val="22"/>
          <w:szCs w:val="22"/>
        </w:rPr>
        <w:t> (L3).</w:t>
      </w:r>
    </w:p>
    <w:p w:rsidR="00627CE4" w:rsidRPr="00627CE4" w:rsidRDefault="00627CE4" w:rsidP="00627CE4">
      <w:pPr>
        <w:jc w:val="both"/>
        <w:rPr>
          <w:rFonts w:ascii="Arial" w:hAnsi="Arial"/>
          <w:sz w:val="22"/>
          <w:szCs w:val="22"/>
        </w:rPr>
      </w:pPr>
    </w:p>
    <w:p w:rsidR="00627CE4" w:rsidRPr="00627CE4" w:rsidRDefault="00627CE4" w:rsidP="00627CE4">
      <w:pPr>
        <w:jc w:val="both"/>
        <w:rPr>
          <w:rFonts w:ascii="Arial" w:hAnsi="Arial"/>
          <w:sz w:val="22"/>
          <w:szCs w:val="22"/>
        </w:rPr>
      </w:pPr>
      <w:r w:rsidRPr="00627CE4">
        <w:rPr>
          <w:rFonts w:ascii="Arial" w:hAnsi="Arial"/>
          <w:sz w:val="22"/>
          <w:szCs w:val="22"/>
        </w:rPr>
        <w:t xml:space="preserve">In allen drei Teilaufgaben wird mit vertrauten mathematischen Objekten wie rechtwinkligen, gleichschenkligen und gleichseitigen Dreiecken und deren Eigenschaften operiert. Somit erfordert diese Aufgabe in all ihren Teilen die Kompetenz </w:t>
      </w:r>
      <w:r w:rsidRPr="00627CE4">
        <w:rPr>
          <w:rFonts w:ascii="Arial" w:hAnsi="Arial"/>
          <w:i/>
          <w:sz w:val="22"/>
          <w:szCs w:val="22"/>
        </w:rPr>
        <w:t>Mit symbolischen, formalen und technischen Elementen der Mathematik umgehen</w:t>
      </w:r>
      <w:r w:rsidRPr="00627CE4">
        <w:rPr>
          <w:rFonts w:ascii="Arial" w:hAnsi="Arial"/>
          <w:sz w:val="22"/>
          <w:szCs w:val="22"/>
        </w:rPr>
        <w:t xml:space="preserve"> (K5). In Teilaufgabe 3 wird zusätzlich die Kompetenz </w:t>
      </w:r>
      <w:r w:rsidRPr="00627CE4">
        <w:rPr>
          <w:rFonts w:ascii="Arial" w:hAnsi="Arial"/>
          <w:i/>
          <w:sz w:val="22"/>
          <w:szCs w:val="22"/>
        </w:rPr>
        <w:t>Mathematisch argumentieren</w:t>
      </w:r>
      <w:r w:rsidRPr="00627CE4">
        <w:rPr>
          <w:rFonts w:ascii="Arial" w:hAnsi="Arial"/>
          <w:sz w:val="22"/>
          <w:szCs w:val="22"/>
        </w:rPr>
        <w:t> (K1) vorausgesetzt, da dort eine Aussage argumentativ widerlegt bzw. eine negative Aussage begründet werden soll.</w:t>
      </w:r>
    </w:p>
    <w:p w:rsidR="00627CE4" w:rsidRPr="00627CE4" w:rsidRDefault="00627CE4" w:rsidP="00627CE4">
      <w:pPr>
        <w:jc w:val="both"/>
        <w:rPr>
          <w:rFonts w:ascii="Arial" w:hAnsi="Arial"/>
          <w:sz w:val="22"/>
          <w:szCs w:val="22"/>
        </w:rPr>
      </w:pPr>
    </w:p>
    <w:p w:rsidR="00627CE4" w:rsidRPr="00627CE4" w:rsidRDefault="00627CE4" w:rsidP="00627CE4">
      <w:pPr>
        <w:jc w:val="both"/>
        <w:rPr>
          <w:rFonts w:ascii="Arial" w:hAnsi="Arial"/>
          <w:sz w:val="22"/>
          <w:szCs w:val="22"/>
        </w:rPr>
      </w:pPr>
      <w:r w:rsidRPr="00627CE4">
        <w:rPr>
          <w:rFonts w:ascii="Arial" w:hAnsi="Arial"/>
          <w:sz w:val="22"/>
          <w:szCs w:val="22"/>
        </w:rPr>
        <w:t>In Teilaufgabe 1 wird der im Aufgabentext angegebene Innenwinkelsatz für Dreiecke auf ein rechtwinkliges Dreieck angewendet. Aufgrund der Routinehaftigkeit wird diese Teilaufgabe dem Anforderungsbereich I zugeordnet. Teilaufgabe 2 bringt ebenfalls den Innenwinkelsatz mit einem aus dem Unterricht bekannten Objekt, dem gleichschenkligen Dreieck, zusammen. Dabei werden jedoch verschiedene Möglichkeiten betrachtet. Damit fällt diese Teilaufgabe in den Anforderungsbereich II. In Teilaufgabe 3 wird eine allgemeingültige mathematische Aussage mit Rückgriff auf andere Sätze der Geometrie begründet. Aufgrund des reflektierenden und allgemeingültigen Charakters gehört diese Teilaufgabe in den Anforderungsbereich III.</w:t>
      </w:r>
    </w:p>
    <w:p w:rsidR="00627CE4" w:rsidRDefault="00627CE4" w:rsidP="00694A63">
      <w:pPr>
        <w:pStyle w:val="IQB-Teilaufgabentitel"/>
        <w:rPr>
          <w:b/>
        </w:rPr>
        <w:sectPr w:rsidR="00627CE4" w:rsidSect="00DB65DC">
          <w:headerReference w:type="first" r:id="rId8"/>
          <w:pgSz w:w="11906" w:h="16838"/>
          <w:pgMar w:top="1134" w:right="1134" w:bottom="1134" w:left="1134" w:header="624" w:footer="709" w:gutter="0"/>
          <w:cols w:space="708"/>
          <w:titlePg/>
          <w:docGrid w:linePitch="360"/>
        </w:sectPr>
      </w:pPr>
    </w:p>
    <w:p w:rsidR="00694A63" w:rsidRPr="00694A63" w:rsidRDefault="00694A63" w:rsidP="00694A63">
      <w:pPr>
        <w:pStyle w:val="IQB-Teilaufgabentitel"/>
        <w:rPr>
          <w:b/>
        </w:rPr>
      </w:pPr>
      <w:r w:rsidRPr="00694A63">
        <w:rPr>
          <w:b/>
        </w:rPr>
        <w:lastRenderedPageBreak/>
        <w:t>Anregungen für den Unterricht</w:t>
      </w:r>
    </w:p>
    <w:p w:rsidR="00627CE4" w:rsidRPr="00627CE4" w:rsidRDefault="00627CE4" w:rsidP="00627CE4">
      <w:pPr>
        <w:jc w:val="both"/>
        <w:rPr>
          <w:rFonts w:ascii="Arial" w:hAnsi="Arial"/>
          <w:sz w:val="22"/>
          <w:szCs w:val="22"/>
        </w:rPr>
      </w:pPr>
      <w:r w:rsidRPr="00627CE4">
        <w:rPr>
          <w:rFonts w:ascii="Arial" w:hAnsi="Arial"/>
          <w:sz w:val="22"/>
          <w:szCs w:val="22"/>
        </w:rPr>
        <w:t>Alle drei Teilaufgaben von „Innenwinkel“ sind so angelegt, dass das Wissen von Schülerinnen und Schülern über spezielle Dreiecke geprüft wird. In Teilaufgabe 1 und 2 sind die Schülerinnen und Schüler dazu aufgefordert, Angaben zu möglichen Innenwinkeln zu machen. Bereits hier lässt sich ablesen, ob der Innenwinkelsatz mit den Eigenschaften von rechtwinkligen und gleichschenkligen Dreiecken zusammengedacht werden kann. In Teilaufgabe 3 wird dann verlangt, eine allgemeine Aussage der Geometrie zu begründen. Anhand des offenen Aufgabenformats und der argumentativen Anforderung lassen sich Potenziale wie auch Fehlvorstellungen bei Schülerinnen und Schülern in den Antworttexten identifizieren, die durch ein geschlossenes Aufgabenformat und der bloßen Angabe möglicher Winkelgrößen wie in den beiden vorigen Teilaufgaben vermutlich nicht hätten identifiziert werden können. Die folgenden Schülerlösungen sollen dies illustrieren.</w:t>
      </w:r>
    </w:p>
    <w:p w:rsidR="00627CE4" w:rsidRPr="00627CE4" w:rsidRDefault="00627CE4" w:rsidP="00627CE4">
      <w:pPr>
        <w:jc w:val="both"/>
        <w:rPr>
          <w:rFonts w:ascii="Arial" w:hAnsi="Arial"/>
          <w:sz w:val="22"/>
          <w:szCs w:val="22"/>
        </w:rPr>
      </w:pPr>
    </w:p>
    <w:p w:rsidR="00627CE4" w:rsidRPr="00627CE4" w:rsidRDefault="00627CE4" w:rsidP="00627CE4">
      <w:pPr>
        <w:jc w:val="both"/>
        <w:rPr>
          <w:rFonts w:ascii="Arial" w:hAnsi="Arial"/>
          <w:sz w:val="22"/>
          <w:szCs w:val="22"/>
        </w:rPr>
      </w:pPr>
      <w:r w:rsidRPr="00627CE4">
        <w:rPr>
          <w:rFonts w:ascii="Arial" w:hAnsi="Arial"/>
          <w:sz w:val="22"/>
          <w:szCs w:val="22"/>
        </w:rPr>
        <w:t>In Schülerlösung 1 wird nicht sofort ersichtlich, auf welchen geometrischen Satz Bezug genommen wird. Zwar kann es hier nur vermutet werden, jedoch könnte sich hinter den beiden Formulierungen in (a) und (b) eine anschauliche Vorstellung verbergen, die Euklids Parallelenpostulat ähnelt. Aus der Eigenschaft der Gleichheit aller Winkelgrößen in einem gleichseitigen Dreieck folgt, dass in einem gleichseitigen, rechtwinkligen Dreieck alle Innenwinkel 90° groß seien müssten. Damit erhält man jedoch (nach dem Parallelenpostulat) keinen Schnittpunkt mehr zwischen den beiden parallel liegenden Seiten. Lediglich ein Viereck ist noch möglich. Überträgt man die Eigenschaften Gleichseitigkeit und gleiche Winkelgrößen auf das Viereck, ist das Quadrat aus (b) eine folgerichtige Vorstellung. Selbstverständlich ist nicht davon auszugehen, dass Schülerinnen und Schülern der Bezug zum Parallelenpostulat und der langen Geschichte dieses Postulats bekannt sind. Interessant ist jedoch, dass sich in dieser Schülerlösung bereits eine anschauliche Vorstellung davon zeigen mag. Im Unterricht könnte eine solche Schülerlösung dazu verwendet werden, um das Postulat zu thematisieren.</w:t>
      </w:r>
    </w:p>
    <w:p w:rsidR="00627CE4" w:rsidRPr="00627CE4" w:rsidRDefault="00627CE4" w:rsidP="00627CE4">
      <w:pPr>
        <w:rPr>
          <w:rFonts w:ascii="Arial" w:hAnsi="Arial"/>
          <w:sz w:val="18"/>
        </w:rPr>
      </w:pPr>
    </w:p>
    <w:p w:rsidR="00627CE4" w:rsidRPr="00627CE4" w:rsidRDefault="00627CE4" w:rsidP="00627CE4">
      <w:pPr>
        <w:keepNext/>
        <w:rPr>
          <w:rFonts w:ascii="Arial" w:hAnsi="Arial"/>
          <w:sz w:val="18"/>
        </w:rPr>
      </w:pPr>
      <w:r w:rsidRPr="00627CE4">
        <w:rPr>
          <w:rFonts w:ascii="Arial" w:hAnsi="Arial"/>
          <w:noProof/>
          <w:sz w:val="18"/>
        </w:rPr>
        <w:drawing>
          <wp:inline distT="0" distB="0" distL="0" distR="0">
            <wp:extent cx="5160645" cy="2390140"/>
            <wp:effectExtent l="19050" t="19050" r="20955" b="1016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60645" cy="2390140"/>
                    </a:xfrm>
                    <a:prstGeom prst="rect">
                      <a:avLst/>
                    </a:prstGeom>
                    <a:noFill/>
                    <a:ln w="9525" cmpd="sng">
                      <a:solidFill>
                        <a:srgbClr val="000000"/>
                      </a:solidFill>
                      <a:miter lim="800000"/>
                      <a:headEnd/>
                      <a:tailEnd/>
                    </a:ln>
                    <a:effectLst/>
                  </pic:spPr>
                </pic:pic>
              </a:graphicData>
            </a:graphic>
          </wp:inline>
        </w:drawing>
      </w:r>
    </w:p>
    <w:p w:rsidR="00627CE4" w:rsidRPr="00627CE4" w:rsidRDefault="00627CE4" w:rsidP="00627CE4">
      <w:pPr>
        <w:rPr>
          <w:rFonts w:ascii="Arial" w:hAnsi="Arial"/>
          <w:bCs/>
          <w:i/>
          <w:sz w:val="20"/>
          <w:szCs w:val="20"/>
        </w:rPr>
      </w:pPr>
      <w:r w:rsidRPr="00627CE4">
        <w:rPr>
          <w:rFonts w:ascii="Arial" w:hAnsi="Arial"/>
          <w:bCs/>
          <w:i/>
          <w:sz w:val="20"/>
          <w:szCs w:val="20"/>
        </w:rPr>
        <w:t>Abbildung 1: Schülerlösung 1</w:t>
      </w:r>
    </w:p>
    <w:p w:rsidR="00627CE4" w:rsidRPr="00627CE4" w:rsidRDefault="00627CE4" w:rsidP="00627CE4">
      <w:pPr>
        <w:rPr>
          <w:rFonts w:ascii="Arial" w:hAnsi="Arial"/>
          <w:sz w:val="18"/>
        </w:rPr>
      </w:pPr>
    </w:p>
    <w:p w:rsidR="00627CE4" w:rsidRPr="00627CE4" w:rsidRDefault="00627CE4" w:rsidP="00627CE4">
      <w:pPr>
        <w:jc w:val="both"/>
        <w:rPr>
          <w:rFonts w:ascii="Arial" w:hAnsi="Arial"/>
          <w:sz w:val="22"/>
          <w:szCs w:val="22"/>
        </w:rPr>
      </w:pPr>
      <w:r w:rsidRPr="00627CE4">
        <w:rPr>
          <w:rFonts w:ascii="Arial" w:hAnsi="Arial"/>
          <w:sz w:val="22"/>
          <w:szCs w:val="22"/>
        </w:rPr>
        <w:t xml:space="preserve">Schülerlösung 2 lässt in Ansätzen Begründungspotenzial erkennen. Jedoch hat hier die Skizze keine erläuternde Funktion, sondern scheint als Begründung selbst zu dienen. Der Begriff „hier“ legt diese Interpretation nahe. Damit würde der allgemeine Charakter der Aussage nicht begründet werden, sondern lediglich mithilfe eines Einzelfalls argumentiert. Weiterhin ist die Argumentation sprachlich unpräzise. Es bleibt offen, was damit gemeint ist, dass „alles gleich ist“. Zur Förderung der Kompetenz </w:t>
      </w:r>
      <w:r w:rsidRPr="00627CE4">
        <w:rPr>
          <w:rFonts w:ascii="Arial" w:hAnsi="Arial"/>
          <w:i/>
          <w:sz w:val="22"/>
          <w:szCs w:val="22"/>
        </w:rPr>
        <w:t>Mathematisch argumentieren</w:t>
      </w:r>
      <w:r w:rsidRPr="00627CE4">
        <w:rPr>
          <w:rFonts w:ascii="Arial" w:hAnsi="Arial"/>
          <w:sz w:val="22"/>
          <w:szCs w:val="22"/>
        </w:rPr>
        <w:t> (K1) sollten diese Unzulänglichkeiten im Unterricht aufgegriffen und an einer allgemeingültigen Formulierung gearbeitet werden.</w:t>
      </w:r>
    </w:p>
    <w:p w:rsidR="00627CE4" w:rsidRPr="00627CE4" w:rsidRDefault="00627CE4" w:rsidP="00627CE4">
      <w:pPr>
        <w:rPr>
          <w:rFonts w:ascii="Arial" w:hAnsi="Arial"/>
          <w:sz w:val="18"/>
        </w:rPr>
      </w:pPr>
    </w:p>
    <w:p w:rsidR="00627CE4" w:rsidRPr="00627CE4" w:rsidRDefault="00627CE4" w:rsidP="00627CE4">
      <w:pPr>
        <w:keepNext/>
        <w:rPr>
          <w:rFonts w:ascii="Arial" w:hAnsi="Arial"/>
          <w:sz w:val="18"/>
        </w:rPr>
      </w:pPr>
      <w:r w:rsidRPr="00627CE4">
        <w:rPr>
          <w:rFonts w:ascii="Arial" w:hAnsi="Arial"/>
          <w:noProof/>
          <w:sz w:val="18"/>
        </w:rPr>
        <w:lastRenderedPageBreak/>
        <w:drawing>
          <wp:inline distT="0" distB="0" distL="0" distR="0">
            <wp:extent cx="5142230" cy="2381250"/>
            <wp:effectExtent l="19050" t="19050" r="20320" b="1905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42230" cy="2381250"/>
                    </a:xfrm>
                    <a:prstGeom prst="rect">
                      <a:avLst/>
                    </a:prstGeom>
                    <a:noFill/>
                    <a:ln w="9525" cmpd="sng">
                      <a:solidFill>
                        <a:srgbClr val="000000"/>
                      </a:solidFill>
                      <a:miter lim="800000"/>
                      <a:headEnd/>
                      <a:tailEnd/>
                    </a:ln>
                    <a:effectLst/>
                  </pic:spPr>
                </pic:pic>
              </a:graphicData>
            </a:graphic>
          </wp:inline>
        </w:drawing>
      </w:r>
    </w:p>
    <w:p w:rsidR="00627CE4" w:rsidRPr="00627CE4" w:rsidRDefault="00627CE4" w:rsidP="00627CE4">
      <w:pPr>
        <w:rPr>
          <w:rFonts w:ascii="Arial" w:hAnsi="Arial"/>
          <w:bCs/>
          <w:i/>
          <w:sz w:val="20"/>
          <w:szCs w:val="20"/>
        </w:rPr>
      </w:pPr>
      <w:r w:rsidRPr="00627CE4">
        <w:rPr>
          <w:rFonts w:ascii="Arial" w:hAnsi="Arial"/>
          <w:bCs/>
          <w:i/>
          <w:sz w:val="20"/>
          <w:szCs w:val="20"/>
        </w:rPr>
        <w:t>Abbildung 2: Schülerlösung 2</w:t>
      </w:r>
    </w:p>
    <w:p w:rsidR="00627CE4" w:rsidRPr="00627CE4" w:rsidRDefault="00627CE4" w:rsidP="00627CE4">
      <w:pPr>
        <w:rPr>
          <w:rFonts w:ascii="Arial" w:hAnsi="Arial"/>
          <w:sz w:val="18"/>
        </w:rPr>
      </w:pPr>
    </w:p>
    <w:p w:rsidR="00627CE4" w:rsidRPr="00627CE4" w:rsidRDefault="00627CE4" w:rsidP="00627CE4">
      <w:pPr>
        <w:jc w:val="both"/>
        <w:rPr>
          <w:rFonts w:ascii="Arial" w:hAnsi="Arial"/>
          <w:sz w:val="22"/>
          <w:szCs w:val="22"/>
        </w:rPr>
      </w:pPr>
      <w:r w:rsidRPr="00627CE4">
        <w:rPr>
          <w:rFonts w:ascii="Arial" w:hAnsi="Arial"/>
          <w:sz w:val="22"/>
          <w:szCs w:val="22"/>
        </w:rPr>
        <w:t xml:space="preserve">Schülerlösung 3 nimmt auf den Innenwinkelsummensatz und auf die Gleichheit aller drei Innenwinkelgrößen im gleichseitigen Dreieck Bezug. Insofern scheint es sich um eine durchweg akzeptable Argumentation zu handeln. Jedoch irritiert die Aussage, dass in einem gleichseitigen Dreieck alle Winkelgrößen „ungefähr“ 60° betragen müssten. Hier mag sich eine Fehlvorstellung verbergen, die im Unterricht korrigiert werden müsste. Auf fachsprachlicher Ebene zeigt sich ein weiteres Problem. Formulierungen wie „das Dreieck ist größer als 180°“ oder „muss an allen Seiten […] 60° haben“ zeigen, dass hier die Fachsprache der Geometrie nicht ausreichend beherrscht wird. Begrifflich müsste zwischen dem Dreieck und seinen Eigenschaften unterschieden werden. Weiterhin müssten die einzelnen Eigenschaften eines Dreiecks sprachlich stärker voneinander abgegrenzt werden. Hierbei könnten Schülerinnen und Schülern Standardformulierungen und Formulierungshilfen an die Hand gegeben werden, damit sie ihren Gebrauch von Fachsprache entwickeln können. </w:t>
      </w:r>
    </w:p>
    <w:p w:rsidR="00627CE4" w:rsidRPr="00627CE4" w:rsidRDefault="00627CE4" w:rsidP="00627CE4">
      <w:pPr>
        <w:jc w:val="both"/>
        <w:rPr>
          <w:rFonts w:ascii="Arial" w:hAnsi="Arial"/>
          <w:sz w:val="22"/>
          <w:szCs w:val="22"/>
        </w:rPr>
      </w:pPr>
    </w:p>
    <w:p w:rsidR="00627CE4" w:rsidRPr="00627CE4" w:rsidRDefault="00627CE4" w:rsidP="00627CE4">
      <w:pPr>
        <w:keepNext/>
        <w:rPr>
          <w:rFonts w:ascii="Arial" w:hAnsi="Arial"/>
          <w:sz w:val="18"/>
        </w:rPr>
      </w:pPr>
      <w:r w:rsidRPr="00627CE4">
        <w:rPr>
          <w:rFonts w:ascii="Arial" w:hAnsi="Arial"/>
          <w:noProof/>
          <w:sz w:val="18"/>
        </w:rPr>
        <w:drawing>
          <wp:inline distT="0" distB="0" distL="0" distR="0">
            <wp:extent cx="5278120" cy="2517140"/>
            <wp:effectExtent l="19050" t="19050" r="17780" b="1651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8120" cy="2517140"/>
                    </a:xfrm>
                    <a:prstGeom prst="rect">
                      <a:avLst/>
                    </a:prstGeom>
                    <a:noFill/>
                    <a:ln w="9525" cmpd="sng">
                      <a:solidFill>
                        <a:srgbClr val="000000"/>
                      </a:solidFill>
                      <a:miter lim="800000"/>
                      <a:headEnd/>
                      <a:tailEnd/>
                    </a:ln>
                    <a:effectLst/>
                  </pic:spPr>
                </pic:pic>
              </a:graphicData>
            </a:graphic>
          </wp:inline>
        </w:drawing>
      </w:r>
    </w:p>
    <w:p w:rsidR="00627CE4" w:rsidRPr="00627CE4" w:rsidRDefault="00627CE4" w:rsidP="00627CE4">
      <w:pPr>
        <w:rPr>
          <w:rFonts w:ascii="Arial" w:hAnsi="Arial"/>
          <w:bCs/>
          <w:i/>
          <w:sz w:val="20"/>
          <w:szCs w:val="20"/>
        </w:rPr>
      </w:pPr>
      <w:r w:rsidRPr="00627CE4">
        <w:rPr>
          <w:rFonts w:ascii="Arial" w:hAnsi="Arial"/>
          <w:bCs/>
          <w:i/>
          <w:sz w:val="20"/>
          <w:szCs w:val="20"/>
        </w:rPr>
        <w:t>Abbildung 3: Schülerlösung 3</w:t>
      </w:r>
    </w:p>
    <w:p w:rsidR="00694A63" w:rsidRPr="005B2F65" w:rsidRDefault="00694A63" w:rsidP="00627CE4">
      <w:pPr>
        <w:jc w:val="both"/>
        <w:rPr>
          <w:sz w:val="22"/>
          <w:szCs w:val="22"/>
        </w:rPr>
      </w:pPr>
    </w:p>
    <w:sectPr w:rsidR="00694A63" w:rsidRPr="005B2F65" w:rsidSect="00DB65DC">
      <w:headerReference w:type="first" r:id="rId12"/>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E3C2B5FD-603B-4B9D-8BA9-F0411C101C79}"/>
    <w:embedBold r:id="rId2" w:fontKey="{88BF0391-EB2B-4A52-8CE7-02639F51E11B}"/>
    <w:embedItalic r:id="rId3" w:fontKey="{F5879D80-E08B-465F-94D7-388703E0CCFC}"/>
    <w:embedBoldItalic r:id="rId4" w:fontKey="{B51CF5FC-7DC0-4C59-BADE-DB35E894F18B}"/>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27CE4" w:rsidRDefault="00627CE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27CE4"/>
    <w:rsid w:val="00666933"/>
    <w:rsid w:val="00685869"/>
    <w:rsid w:val="00691281"/>
    <w:rsid w:val="00692E69"/>
    <w:rsid w:val="00694A63"/>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14:docId w14:val="29062E0C"/>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351ED9-83F0-46D8-9B80-18D2AAF3C4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775</Words>
  <Characters>5368</Characters>
  <Application>Microsoft Office Word</Application>
  <DocSecurity>0</DocSecurity>
  <Lines>89</Lines>
  <Paragraphs>27</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6116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2025-07-24T07:44:00Z</dcterms:created>
  <dcterms:modified xsi:type="dcterms:W3CDTF">2025-07-24T07:44:00Z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